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2-комн.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СВАО, Угличская ул., 20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Лианозово, 19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90 000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 / 5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75.0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22-16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38.0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13.0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Лоджия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Лоджия</w:t>
                        </w:r>
                      </w:p>
                    </w:tc>
                  </w:tr>
                  <!-- end Лоджия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10 мая, 20:32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Славянка - офис Северо-Запад</w:t>
      </w:r>
    </w:p>
    <!-- offer description -->
    <w:p>
      <w:pPr>
        <w:pStyle w:val="Normal"/>
        <w:spacing w:before="0" w:after="0" w:beforeLines="0" w:afterLines="0"/>
      </w:pPr>
      <w:r>
        <w:t>ID 1758. 
Предлагается в аренду отличная, уютная 2-комнатная квартира в жилом комплексе Дубовая роща, расположенном по адресу:  ул. Углическая д. 20. В квартире выполнен качественный ремонт в современном стиле. Студийная планировка квартиры совместила в единое пространство кухню со встроенным кухонным гарнитуром, укомплектованным всей необходимой бытовой техникой и зону гостиной с мягкой мебелью, которую по желанию и необходимости можно отгородить от кухни раздвижными дверьми. Также планировка квартиры включает в себя изолированную спальню. Квартира полностью меблирована и оборудована техникой. В наличии гардеробная комната. Раздельный санузел оснащен качественной сантехникой. Просторная застекленная лоджия с подогревом пола. Жилой комплекс находится на огороженной территории с пропускным режимом и охраной на въезде. Охраняемый паркинг во дворе. Развитая инфраструктура района к Вашим услугам. Жилой комплекс Дубовая роща - современный жилой комплекс, расположенный в экологически чистом районе столицы, недалеко от Дубовой рощи и Лианозовского парка.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